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FC" w:rsidRDefault="004A3EFC" w:rsidP="004A3EFC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Zarządzenie Nr 53.2022</w:t>
      </w:r>
    </w:p>
    <w:p w:rsidR="004A3EFC" w:rsidRDefault="004A3EFC" w:rsidP="004A3EFC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4A3EFC" w:rsidRDefault="004A3EFC" w:rsidP="004A3EFC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z dnia 3 czerwca 2022 r.</w:t>
      </w: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4A3EFC" w:rsidRDefault="004A3EFC" w:rsidP="004A3EFC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Mocnewyrf3bfnione"/>
          <w:rFonts w:ascii="Times New Roman" w:hAnsi="Times New Roman" w:cs="Times New Roman"/>
          <w:b w:val="0"/>
        </w:rPr>
        <w:t xml:space="preserve">w sprawie zmiany 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06 maja 2019 r.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w sprawie Regulaminu Organizacyjnego Urzędu Gminy Waganiec</w:t>
      </w:r>
    </w:p>
    <w:p w:rsidR="004A3EFC" w:rsidRDefault="004A3EFC" w:rsidP="004A3EFC">
      <w:pPr>
        <w:pStyle w:val="Tre9ce6tekstu"/>
        <w:spacing w:after="0"/>
        <w:rPr>
          <w:rStyle w:val="Mocnewyrf3bfnione"/>
        </w:rPr>
      </w:pPr>
    </w:p>
    <w:p w:rsidR="004A3EFC" w:rsidRDefault="004A3EFC" w:rsidP="004A3EFC">
      <w:pPr>
        <w:pStyle w:val="Tre9ce6tekstu"/>
        <w:spacing w:after="0"/>
      </w:pPr>
      <w:r>
        <w:rPr>
          <w:rFonts w:ascii="Times New Roman" w:hAnsi="Times New Roman" w:cs="Times New Roman"/>
        </w:rPr>
        <w:t xml:space="preserve">Na podstawie art. 33 ust. 2 art. 40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z dnia 8 marca 1990 r. o samorządzie gminnym (Dz. U. z 2022 r. poz. 559), zarządzam co następuje: </w:t>
      </w: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</w:p>
    <w:p w:rsidR="004A3EFC" w:rsidRDefault="004A3EFC" w:rsidP="004A3EF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4A3EFC" w:rsidRDefault="004A3EFC" w:rsidP="004A3EFC">
      <w:pPr>
        <w:spacing w:line="276" w:lineRule="auto"/>
        <w:jc w:val="center"/>
        <w:rPr>
          <w:rFonts w:ascii="Times New Roman" w:hAnsi="Times New Roman" w:cs="Times New Roman"/>
        </w:rPr>
      </w:pPr>
    </w:p>
    <w:p w:rsidR="004A3EFC" w:rsidRDefault="004A3EFC" w:rsidP="004A3E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1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Wójta Gminy Waganiec z dnia 06 maja 2019 r</w:t>
      </w:r>
      <w:r>
        <w:rPr>
          <w:rFonts w:ascii="Times New Roman" w:hAnsi="Times New Roman" w:cs="Times New Roman"/>
        </w:rPr>
        <w:t>., który otrzymuje brzmienie jak w załączniku Nr 1 do niniejszego Zarządzenia.</w:t>
      </w: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</w:p>
    <w:p w:rsidR="004A3EFC" w:rsidRDefault="004A3EFC" w:rsidP="004A3EFC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</w:p>
    <w:p w:rsidR="004A3EFC" w:rsidRDefault="004A3EFC" w:rsidP="004A3EFC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4A3EFC" w:rsidRDefault="004A3EFC" w:rsidP="004A3EFC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4A3EFC" w:rsidRDefault="004A3EFC" w:rsidP="004A3EFC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Wykonanie zarządzenia powierza się referentowi ds. kadr i ewidencji działalności gospodarczej.</w:t>
      </w:r>
    </w:p>
    <w:p w:rsidR="004A3EFC" w:rsidRDefault="004A3EFC" w:rsidP="004A3EFC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</w:p>
    <w:p w:rsidR="004A3EFC" w:rsidRDefault="004A3EFC" w:rsidP="004A3EFC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§4</w:t>
      </w:r>
    </w:p>
    <w:p w:rsidR="004A3EFC" w:rsidRDefault="004A3EFC" w:rsidP="004A3EFC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Zobowiązuje się Sekretarza Gminy, Skarbnika Gminy, kierowników referatów, do niezwłocznego zapoznania podległych im pracowników z treścią niniejszego zarządzenia.</w:t>
      </w:r>
    </w:p>
    <w:p w:rsidR="004A3EFC" w:rsidRDefault="004A3EFC" w:rsidP="004A3EFC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A3EFC" w:rsidRDefault="004A3EFC" w:rsidP="004A3EFC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A3EFC" w:rsidRDefault="004A3EFC" w:rsidP="004A3EFC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§5</w:t>
      </w:r>
    </w:p>
    <w:p w:rsidR="004A3EFC" w:rsidRDefault="004A3EFC" w:rsidP="004A3EFC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3F20BA" w:rsidRDefault="004A3EFC"/>
    <w:sectPr w:rsidR="003F20BA" w:rsidSect="00B5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EFC"/>
    <w:rsid w:val="0037763E"/>
    <w:rsid w:val="004A3EFC"/>
    <w:rsid w:val="00B5491B"/>
    <w:rsid w:val="00C2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F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4A3EFC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character" w:customStyle="1" w:styleId="Mocnewyrf3bfnione">
    <w:name w:val="Mocne wyróf3żbfnione"/>
    <w:uiPriority w:val="99"/>
    <w:rsid w:val="004A3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2022-06-03T09:15:00Z</cp:lastPrinted>
  <dcterms:created xsi:type="dcterms:W3CDTF">2022-06-03T09:13:00Z</dcterms:created>
  <dcterms:modified xsi:type="dcterms:W3CDTF">2022-06-03T09:15:00Z</dcterms:modified>
</cp:coreProperties>
</file>